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E52" w:rsidRPr="008938E7" w:rsidRDefault="00E17E52" w:rsidP="00E17E52">
      <w:pPr>
        <w:shd w:val="clear" w:color="auto" w:fill="FFFFFF"/>
        <w:tabs>
          <w:tab w:val="left" w:pos="-90"/>
        </w:tabs>
        <w:spacing w:line="276" w:lineRule="auto"/>
        <w:rPr>
          <w:rFonts w:ascii="Georgia" w:hAnsi="Georgia"/>
          <w:sz w:val="28"/>
        </w:rPr>
      </w:pPr>
    </w:p>
    <w:p w:rsidR="00E17E52" w:rsidRPr="00D56456" w:rsidRDefault="00E17E52" w:rsidP="00E17E52">
      <w:pPr>
        <w:shd w:val="clear" w:color="auto" w:fill="FFFFFF"/>
        <w:tabs>
          <w:tab w:val="left" w:pos="-90"/>
        </w:tabs>
        <w:spacing w:line="276" w:lineRule="auto"/>
        <w:rPr>
          <w:rFonts w:ascii="Georgia" w:hAnsi="Georgia"/>
          <w:b/>
          <w:i/>
          <w:sz w:val="28"/>
          <w:u w:val="single"/>
        </w:rPr>
      </w:pPr>
      <w:r>
        <w:rPr>
          <w:rFonts w:ascii="Georgia" w:hAnsi="Georgia"/>
          <w:b/>
          <w:i/>
          <w:sz w:val="28"/>
          <w:u w:val="single"/>
        </w:rPr>
        <w:t>Copy Option</w:t>
      </w:r>
      <w:bookmarkStart w:id="0" w:name="_GoBack"/>
      <w:bookmarkEnd w:id="0"/>
      <w:r w:rsidRPr="00D56456">
        <w:rPr>
          <w:rFonts w:ascii="Georgia" w:hAnsi="Georgia"/>
          <w:b/>
          <w:i/>
          <w:sz w:val="28"/>
          <w:u w:val="single"/>
        </w:rPr>
        <w:t xml:space="preserve">: </w:t>
      </w:r>
      <w:r>
        <w:rPr>
          <w:rFonts w:ascii="Georgia" w:hAnsi="Georgia"/>
          <w:b/>
          <w:i/>
          <w:sz w:val="28"/>
          <w:u w:val="single"/>
        </w:rPr>
        <w:t>Benefits-specific information</w:t>
      </w:r>
    </w:p>
    <w:p w:rsidR="00E17E52" w:rsidRPr="008938E7" w:rsidRDefault="00E17E52" w:rsidP="00E17E52">
      <w:pPr>
        <w:shd w:val="clear" w:color="auto" w:fill="FFFFFF"/>
        <w:tabs>
          <w:tab w:val="left" w:pos="-90"/>
        </w:tabs>
        <w:spacing w:line="276" w:lineRule="auto"/>
        <w:rPr>
          <w:rFonts w:ascii="Georgia" w:hAnsi="Georgia"/>
        </w:rPr>
      </w:pPr>
    </w:p>
    <w:p w:rsidR="00E17E52" w:rsidRPr="008938E7" w:rsidRDefault="00E17E52" w:rsidP="00E17E52">
      <w:pPr>
        <w:shd w:val="clear" w:color="auto" w:fill="FFFFFF"/>
        <w:tabs>
          <w:tab w:val="left" w:pos="-90"/>
        </w:tabs>
        <w:spacing w:line="276" w:lineRule="auto"/>
        <w:rPr>
          <w:rFonts w:ascii="Georgia" w:hAnsi="Georgia"/>
          <w:b/>
          <w:sz w:val="28"/>
        </w:rPr>
      </w:pPr>
      <w:r>
        <w:rPr>
          <w:rFonts w:ascii="Georgia" w:hAnsi="Georgia"/>
          <w:b/>
          <w:sz w:val="28"/>
        </w:rPr>
        <w:t>Use Your Preventive Benefits Wisely!</w:t>
      </w:r>
    </w:p>
    <w:p w:rsidR="00E17E52" w:rsidRDefault="00E17E52" w:rsidP="00E17E52">
      <w:pPr>
        <w:shd w:val="clear" w:color="auto" w:fill="FFFFFF"/>
        <w:tabs>
          <w:tab w:val="left" w:pos="-90"/>
        </w:tabs>
        <w:spacing w:line="276" w:lineRule="auto"/>
        <w:rPr>
          <w:rFonts w:ascii="Georgia" w:hAnsi="Georgia"/>
        </w:rPr>
      </w:pPr>
      <w:r w:rsidRPr="008938E7">
        <w:rPr>
          <w:rFonts w:ascii="Georgia" w:hAnsi="Georgia"/>
        </w:rPr>
        <w:t xml:space="preserve">Why wait until you’re sick to use your health coverage? As part of the Affordable Care Act, </w:t>
      </w:r>
      <w:r>
        <w:rPr>
          <w:rFonts w:ascii="Georgia" w:hAnsi="Georgia"/>
        </w:rPr>
        <w:t xml:space="preserve">you can take </w:t>
      </w:r>
      <w:r w:rsidRPr="005D14E0">
        <w:rPr>
          <w:rFonts w:ascii="Georgia" w:hAnsi="Georgia"/>
        </w:rPr>
        <w:t xml:space="preserve">advantage of many </w:t>
      </w:r>
      <w:hyperlink r:id="rId7" w:history="1">
        <w:r>
          <w:rPr>
            <w:rStyle w:val="Hyperlink"/>
            <w:rFonts w:ascii="Georgia" w:hAnsi="Georgia"/>
            <w:b/>
          </w:rPr>
          <w:t>free preventive services</w:t>
        </w:r>
      </w:hyperlink>
      <w:r w:rsidRPr="005D14E0">
        <w:rPr>
          <w:rFonts w:ascii="Georgia" w:hAnsi="Georgia"/>
        </w:rPr>
        <w:t>, like check</w:t>
      </w:r>
      <w:r w:rsidRPr="008938E7">
        <w:rPr>
          <w:rFonts w:ascii="Georgia" w:hAnsi="Georgia"/>
        </w:rPr>
        <w:t>-ups and routine screenings, to help you stay healthy and catch problems early – when they are easier to treat. Prevention is key to helping you improve your health and avoid illness.</w:t>
      </w:r>
      <w:r>
        <w:rPr>
          <w:rFonts w:ascii="Georgia" w:hAnsi="Georgia"/>
        </w:rPr>
        <w:t xml:space="preserve"> </w:t>
      </w:r>
    </w:p>
    <w:p w:rsidR="00E17E52" w:rsidRDefault="00E17E52" w:rsidP="00E17E52">
      <w:pPr>
        <w:shd w:val="clear" w:color="auto" w:fill="FFFFFF"/>
        <w:tabs>
          <w:tab w:val="left" w:pos="-90"/>
        </w:tabs>
        <w:spacing w:line="276" w:lineRule="auto"/>
        <w:rPr>
          <w:rFonts w:ascii="Georgia" w:hAnsi="Georgia"/>
        </w:rPr>
      </w:pPr>
    </w:p>
    <w:p w:rsidR="00E17E52" w:rsidRPr="00984F4C" w:rsidRDefault="00E17E52" w:rsidP="00E17E52">
      <w:pPr>
        <w:shd w:val="clear" w:color="auto" w:fill="FFFFFF"/>
        <w:tabs>
          <w:tab w:val="left" w:pos="-90"/>
        </w:tabs>
        <w:spacing w:line="276" w:lineRule="auto"/>
        <w:rPr>
          <w:rFonts w:ascii="Georgia" w:hAnsi="Georgia"/>
          <w:b/>
        </w:rPr>
      </w:pPr>
      <w:r w:rsidRPr="00984F4C">
        <w:rPr>
          <w:rFonts w:ascii="Georgia" w:hAnsi="Georgia"/>
          <w:b/>
        </w:rPr>
        <w:t>Here’s what you need to know:</w:t>
      </w:r>
    </w:p>
    <w:p w:rsidR="00E17E52" w:rsidRDefault="00E17E52" w:rsidP="00E17E52">
      <w:pPr>
        <w:shd w:val="clear" w:color="auto" w:fill="FFFFFF"/>
        <w:tabs>
          <w:tab w:val="left" w:pos="-90"/>
        </w:tabs>
        <w:spacing w:line="276" w:lineRule="auto"/>
        <w:rPr>
          <w:rFonts w:ascii="Georgia" w:hAnsi="Georgia"/>
          <w:b/>
        </w:rPr>
      </w:pPr>
    </w:p>
    <w:p w:rsidR="00E17E52" w:rsidRPr="00662319" w:rsidRDefault="00E17E52" w:rsidP="00E17E52">
      <w:pPr>
        <w:spacing w:line="276" w:lineRule="auto"/>
        <w:rPr>
          <w:rFonts w:ascii="Georgia" w:hAnsi="Georgia"/>
        </w:rPr>
      </w:pPr>
      <w:r>
        <w:rPr>
          <w:rFonts w:ascii="Georgia" w:hAnsi="Georgia"/>
        </w:rPr>
        <w:t>Free preventive services available to you at no cost include:</w:t>
      </w:r>
    </w:p>
    <w:p w:rsidR="00E17E52" w:rsidRPr="00662319" w:rsidRDefault="00E17E52" w:rsidP="00E17E52">
      <w:pPr>
        <w:spacing w:line="276" w:lineRule="auto"/>
        <w:rPr>
          <w:rFonts w:ascii="Georgia" w:hAnsi="Georgia"/>
        </w:rPr>
      </w:pPr>
    </w:p>
    <w:p w:rsidR="00E17E52" w:rsidRPr="00662319" w:rsidRDefault="00E17E52" w:rsidP="00E17E52">
      <w:pPr>
        <w:pStyle w:val="ListParagraph"/>
        <w:numPr>
          <w:ilvl w:val="0"/>
          <w:numId w:val="2"/>
        </w:numPr>
        <w:spacing w:line="276" w:lineRule="auto"/>
        <w:rPr>
          <w:rFonts w:ascii="Georgia" w:hAnsi="Georgia"/>
        </w:rPr>
      </w:pPr>
      <w:r>
        <w:rPr>
          <w:rFonts w:ascii="Georgia" w:hAnsi="Georgia"/>
        </w:rPr>
        <w:t>S</w:t>
      </w:r>
      <w:r w:rsidRPr="00662319">
        <w:rPr>
          <w:rFonts w:ascii="Georgia" w:hAnsi="Georgia"/>
        </w:rPr>
        <w:t>creenings and counseling for conditions such as diabetes, high cholesterol, obesity, various cancers and depression</w:t>
      </w:r>
      <w:r>
        <w:rPr>
          <w:rFonts w:ascii="Georgia" w:hAnsi="Georgia"/>
        </w:rPr>
        <w:t>.</w:t>
      </w:r>
    </w:p>
    <w:p w:rsidR="00E17E52" w:rsidRPr="00662319" w:rsidRDefault="00E17E52" w:rsidP="00E17E52">
      <w:pPr>
        <w:pStyle w:val="ListParagraph"/>
        <w:numPr>
          <w:ilvl w:val="0"/>
          <w:numId w:val="2"/>
        </w:numPr>
        <w:spacing w:line="276" w:lineRule="auto"/>
        <w:rPr>
          <w:rFonts w:ascii="Georgia" w:hAnsi="Georgia"/>
        </w:rPr>
      </w:pPr>
      <w:r w:rsidRPr="00662319">
        <w:rPr>
          <w:rFonts w:ascii="Georgia" w:hAnsi="Georgia"/>
        </w:rPr>
        <w:t>Ro</w:t>
      </w:r>
      <w:r>
        <w:rPr>
          <w:rFonts w:ascii="Georgia" w:hAnsi="Georgia"/>
        </w:rPr>
        <w:t>utine vaccines</w:t>
      </w:r>
      <w:r w:rsidRPr="00662319">
        <w:rPr>
          <w:rFonts w:ascii="Georgia" w:hAnsi="Georgia"/>
        </w:rPr>
        <w:t xml:space="preserve"> for adults and children</w:t>
      </w:r>
      <w:r>
        <w:rPr>
          <w:rFonts w:ascii="Georgia" w:hAnsi="Georgia"/>
        </w:rPr>
        <w:t xml:space="preserve"> that are </w:t>
      </w:r>
      <w:r w:rsidRPr="00662319">
        <w:rPr>
          <w:rFonts w:ascii="Georgia" w:hAnsi="Georgia"/>
        </w:rPr>
        <w:t>recommended by the Advisory Committee on Immunization Practices (ACIP)</w:t>
      </w:r>
      <w:r>
        <w:rPr>
          <w:rFonts w:ascii="Georgia" w:hAnsi="Georgia"/>
        </w:rPr>
        <w:t xml:space="preserve">, like </w:t>
      </w:r>
      <w:r w:rsidRPr="00662319">
        <w:rPr>
          <w:rFonts w:ascii="Georgia" w:hAnsi="Georgia"/>
        </w:rPr>
        <w:t>flu shots, tetanus, menin</w:t>
      </w:r>
      <w:r>
        <w:rPr>
          <w:rFonts w:ascii="Georgia" w:hAnsi="Georgia"/>
        </w:rPr>
        <w:t>gitis and hepatitis A and B.</w:t>
      </w:r>
    </w:p>
    <w:p w:rsidR="00E17E52" w:rsidRPr="00662319" w:rsidRDefault="00E17E52" w:rsidP="00E17E52">
      <w:pPr>
        <w:pStyle w:val="ListParagraph"/>
        <w:numPr>
          <w:ilvl w:val="0"/>
          <w:numId w:val="2"/>
        </w:numPr>
        <w:spacing w:line="276" w:lineRule="auto"/>
        <w:rPr>
          <w:rFonts w:ascii="Georgia" w:hAnsi="Georgia"/>
        </w:rPr>
      </w:pPr>
      <w:r w:rsidRPr="00662319">
        <w:rPr>
          <w:rFonts w:ascii="Georgia" w:hAnsi="Georgia"/>
        </w:rPr>
        <w:t>Specific coverage for women, children and youth</w:t>
      </w:r>
      <w:r>
        <w:rPr>
          <w:rFonts w:ascii="Georgia" w:hAnsi="Georgia"/>
        </w:rPr>
        <w:t>.</w:t>
      </w:r>
    </w:p>
    <w:p w:rsidR="00E17E52" w:rsidRPr="008938E7" w:rsidRDefault="00E17E52" w:rsidP="00E17E52">
      <w:pPr>
        <w:shd w:val="clear" w:color="auto" w:fill="FFFFFF"/>
        <w:tabs>
          <w:tab w:val="left" w:pos="-90"/>
        </w:tabs>
        <w:spacing w:line="276" w:lineRule="auto"/>
        <w:rPr>
          <w:rFonts w:ascii="Georgia" w:hAnsi="Georgia"/>
          <w:b/>
        </w:rPr>
      </w:pPr>
    </w:p>
    <w:p w:rsidR="00E17E52" w:rsidRDefault="00E17E52" w:rsidP="00E17E52">
      <w:pPr>
        <w:shd w:val="clear" w:color="auto" w:fill="FFFFFF"/>
        <w:tabs>
          <w:tab w:val="left" w:pos="-90"/>
        </w:tabs>
        <w:spacing w:line="276" w:lineRule="auto"/>
        <w:rPr>
          <w:rFonts w:ascii="Georgia" w:hAnsi="Georgia"/>
        </w:rPr>
      </w:pPr>
      <w:r>
        <w:rPr>
          <w:rFonts w:ascii="Georgia" w:hAnsi="Georgia"/>
        </w:rPr>
        <w:t>What does “free” mean?</w:t>
      </w:r>
      <w:r w:rsidRPr="00962764">
        <w:rPr>
          <w:rFonts w:ascii="Georgia" w:hAnsi="Georgia"/>
        </w:rPr>
        <w:t xml:space="preserve"> </w:t>
      </w:r>
      <w:r>
        <w:rPr>
          <w:rFonts w:ascii="Georgia" w:hAnsi="Georgia"/>
        </w:rPr>
        <w:t>No</w:t>
      </w:r>
      <w:r w:rsidRPr="00962764">
        <w:rPr>
          <w:rFonts w:ascii="Georgia" w:hAnsi="Georgia"/>
        </w:rPr>
        <w:t xml:space="preserve"> </w:t>
      </w:r>
      <w:hyperlink r:id="rId8" w:history="1">
        <w:r w:rsidRPr="001C07F4">
          <w:rPr>
            <w:rStyle w:val="Hyperlink"/>
            <w:rFonts w:ascii="Georgia" w:hAnsi="Georgia"/>
          </w:rPr>
          <w:t>copayment</w:t>
        </w:r>
      </w:hyperlink>
      <w:r>
        <w:rPr>
          <w:rFonts w:ascii="Georgia" w:hAnsi="Georgia"/>
        </w:rPr>
        <w:t xml:space="preserve"> </w:t>
      </w:r>
      <w:r w:rsidRPr="00962764">
        <w:rPr>
          <w:rFonts w:ascii="Georgia" w:hAnsi="Georgia"/>
        </w:rPr>
        <w:t xml:space="preserve">or </w:t>
      </w:r>
      <w:hyperlink r:id="rId9" w:history="1">
        <w:r w:rsidRPr="001C07F4">
          <w:rPr>
            <w:rStyle w:val="Hyperlink"/>
            <w:rFonts w:ascii="Georgia" w:hAnsi="Georgia"/>
          </w:rPr>
          <w:t>coinsurance</w:t>
        </w:r>
      </w:hyperlink>
      <w:r>
        <w:rPr>
          <w:rFonts w:ascii="Georgia" w:hAnsi="Georgia"/>
        </w:rPr>
        <w:t xml:space="preserve"> </w:t>
      </w:r>
      <w:r w:rsidRPr="00962764">
        <w:rPr>
          <w:rFonts w:ascii="Georgia" w:hAnsi="Georgia"/>
        </w:rPr>
        <w:t xml:space="preserve">even if you haven’t met your yearly </w:t>
      </w:r>
      <w:hyperlink r:id="rId10" w:history="1">
        <w:r w:rsidRPr="001C07F4">
          <w:rPr>
            <w:rStyle w:val="Hyperlink"/>
            <w:rFonts w:ascii="Georgia" w:hAnsi="Georgia"/>
          </w:rPr>
          <w:t>deductible</w:t>
        </w:r>
      </w:hyperlink>
      <w:r w:rsidRPr="005F0CCF">
        <w:rPr>
          <w:rFonts w:ascii="Georgia" w:hAnsi="Georgia"/>
        </w:rPr>
        <w:t xml:space="preserve">. </w:t>
      </w:r>
      <w:r>
        <w:rPr>
          <w:rFonts w:ascii="Georgia" w:hAnsi="Georgia"/>
        </w:rPr>
        <w:t xml:space="preserve">For more health care terms, visit this </w:t>
      </w:r>
      <w:hyperlink r:id="rId11" w:history="1">
        <w:r w:rsidRPr="00607D58">
          <w:rPr>
            <w:rStyle w:val="Hyperlink"/>
            <w:rFonts w:ascii="Georgia" w:hAnsi="Georgia"/>
          </w:rPr>
          <w:t>glossary</w:t>
        </w:r>
      </w:hyperlink>
      <w:r>
        <w:rPr>
          <w:rFonts w:ascii="Georgia" w:hAnsi="Georgia"/>
        </w:rPr>
        <w:t>.</w:t>
      </w:r>
    </w:p>
    <w:p w:rsidR="00E17E52" w:rsidRPr="00962764" w:rsidRDefault="00E17E52" w:rsidP="00E17E52">
      <w:pPr>
        <w:shd w:val="clear" w:color="auto" w:fill="FFFFFF"/>
        <w:tabs>
          <w:tab w:val="left" w:pos="-90"/>
        </w:tabs>
        <w:spacing w:line="276" w:lineRule="auto"/>
        <w:rPr>
          <w:rFonts w:ascii="Georgia" w:hAnsi="Georgia"/>
        </w:rPr>
      </w:pPr>
    </w:p>
    <w:p w:rsidR="00E17E52" w:rsidRPr="005C6045" w:rsidRDefault="00E17E52" w:rsidP="00E17E52">
      <w:pPr>
        <w:shd w:val="clear" w:color="auto" w:fill="FFFFFF"/>
        <w:tabs>
          <w:tab w:val="left" w:pos="-90"/>
        </w:tabs>
        <w:spacing w:line="276" w:lineRule="auto"/>
        <w:rPr>
          <w:rFonts w:ascii="Georgia" w:hAnsi="Georgia"/>
          <w:i/>
        </w:rPr>
      </w:pPr>
      <w:r>
        <w:rPr>
          <w:rFonts w:ascii="Georgia" w:hAnsi="Georgia"/>
        </w:rPr>
        <w:t>Keep in mind that p</w:t>
      </w:r>
      <w:r w:rsidRPr="00962764">
        <w:rPr>
          <w:rFonts w:ascii="Georgia" w:hAnsi="Georgia"/>
        </w:rPr>
        <w:t xml:space="preserve">reventive services are free only when delivered by a doctor in your plan’s provider network. </w:t>
      </w:r>
      <w:r>
        <w:rPr>
          <w:rFonts w:ascii="Georgia" w:hAnsi="Georgia"/>
        </w:rPr>
        <w:t>And t</w:t>
      </w:r>
      <w:r w:rsidRPr="00962764">
        <w:rPr>
          <w:rFonts w:ascii="Georgia" w:hAnsi="Georgia"/>
        </w:rPr>
        <w:t>he preventive service must be the primary reason for your visit</w:t>
      </w:r>
      <w:r>
        <w:rPr>
          <w:rFonts w:ascii="Georgia" w:hAnsi="Georgia"/>
        </w:rPr>
        <w:t xml:space="preserve"> to </w:t>
      </w:r>
      <w:r w:rsidRPr="00962764">
        <w:rPr>
          <w:rFonts w:ascii="Georgia" w:hAnsi="Georgia"/>
        </w:rPr>
        <w:t xml:space="preserve">your doctor. </w:t>
      </w:r>
      <w:r>
        <w:rPr>
          <w:rFonts w:ascii="Georgia" w:hAnsi="Georgia"/>
          <w:b/>
          <w:i/>
        </w:rPr>
        <w:t>I</w:t>
      </w:r>
      <w:r w:rsidRPr="005C6045">
        <w:rPr>
          <w:rFonts w:ascii="Georgia" w:hAnsi="Georgia"/>
          <w:b/>
          <w:i/>
        </w:rPr>
        <w:t>f you aren’t sure if a service is covered, ask! When you book your appointment, make it clear that you want the free preventive services and ask if anything you are requesting falls out of the “free” category.</w:t>
      </w:r>
      <w:r>
        <w:rPr>
          <w:rFonts w:ascii="Georgia" w:hAnsi="Georgia"/>
          <w:b/>
          <w:i/>
        </w:rPr>
        <w:t xml:space="preserve"> </w:t>
      </w:r>
    </w:p>
    <w:p w:rsidR="00E17E52" w:rsidRPr="008938E7" w:rsidRDefault="00E17E52" w:rsidP="00E17E52">
      <w:pPr>
        <w:shd w:val="clear" w:color="auto" w:fill="FFFFFF"/>
        <w:tabs>
          <w:tab w:val="left" w:pos="-90"/>
        </w:tabs>
        <w:spacing w:line="276" w:lineRule="auto"/>
        <w:rPr>
          <w:rFonts w:ascii="Georgia" w:hAnsi="Georgia"/>
        </w:rPr>
      </w:pPr>
    </w:p>
    <w:p w:rsidR="00E17E52" w:rsidRPr="00984F4C" w:rsidRDefault="00E17E52" w:rsidP="00E17E52">
      <w:pPr>
        <w:shd w:val="clear" w:color="auto" w:fill="FFFFFF"/>
        <w:tabs>
          <w:tab w:val="left" w:pos="-90"/>
        </w:tabs>
        <w:spacing w:line="276" w:lineRule="auto"/>
        <w:rPr>
          <w:rFonts w:ascii="Georgia" w:hAnsi="Georgia"/>
          <w:b/>
        </w:rPr>
      </w:pPr>
      <w:r w:rsidRPr="00984F4C">
        <w:rPr>
          <w:rFonts w:ascii="Georgia" w:hAnsi="Georgia"/>
          <w:b/>
        </w:rPr>
        <w:t>Links for more info:</w:t>
      </w:r>
    </w:p>
    <w:p w:rsidR="00E17E52" w:rsidRPr="008938E7" w:rsidRDefault="00E17E52" w:rsidP="00E17E52">
      <w:pPr>
        <w:shd w:val="clear" w:color="auto" w:fill="FFFFFF"/>
        <w:tabs>
          <w:tab w:val="left" w:pos="-90"/>
        </w:tabs>
        <w:spacing w:line="276" w:lineRule="auto"/>
        <w:rPr>
          <w:rFonts w:ascii="Georgia" w:hAnsi="Georgia"/>
        </w:rPr>
      </w:pPr>
      <w:r w:rsidRPr="008938E7">
        <w:rPr>
          <w:rFonts w:ascii="Georgia" w:hAnsi="Georgia"/>
        </w:rPr>
        <w:t xml:space="preserve">Preventive services include screenings for </w:t>
      </w:r>
      <w:r>
        <w:rPr>
          <w:rFonts w:ascii="Georgia" w:hAnsi="Georgia"/>
        </w:rPr>
        <w:t xml:space="preserve">things like </w:t>
      </w:r>
      <w:r w:rsidRPr="008938E7">
        <w:rPr>
          <w:rFonts w:ascii="Georgia" w:hAnsi="Georgia"/>
        </w:rPr>
        <w:t>high blood pressure, diabetes, high cholesterol and depression, recommended vaccines and flu shots and annual doctor visits. Click on these links for the full lists of preventive services covered for each group:</w:t>
      </w:r>
    </w:p>
    <w:p w:rsidR="00E17E52" w:rsidRPr="008938E7" w:rsidRDefault="00E17E52" w:rsidP="00E17E52">
      <w:pPr>
        <w:shd w:val="clear" w:color="auto" w:fill="FFFFFF"/>
        <w:tabs>
          <w:tab w:val="left" w:pos="-90"/>
        </w:tabs>
        <w:spacing w:line="276" w:lineRule="auto"/>
        <w:rPr>
          <w:rFonts w:ascii="Georgia" w:hAnsi="Georgia"/>
        </w:rPr>
      </w:pPr>
    </w:p>
    <w:p w:rsidR="00E17E52" w:rsidRPr="002755B3" w:rsidRDefault="00E17E52" w:rsidP="00E17E52">
      <w:pPr>
        <w:pStyle w:val="ListParagraph"/>
        <w:numPr>
          <w:ilvl w:val="0"/>
          <w:numId w:val="1"/>
        </w:numPr>
        <w:shd w:val="clear" w:color="auto" w:fill="FFFFFF"/>
        <w:tabs>
          <w:tab w:val="left" w:pos="-90"/>
        </w:tabs>
        <w:spacing w:line="276" w:lineRule="auto"/>
        <w:rPr>
          <w:rFonts w:ascii="Georgia" w:hAnsi="Georgia"/>
        </w:rPr>
      </w:pPr>
      <w:hyperlink r:id="rId12" w:history="1">
        <w:r w:rsidRPr="00607D58">
          <w:rPr>
            <w:rStyle w:val="Hyperlink"/>
            <w:rFonts w:ascii="Georgia" w:hAnsi="Georgia" w:cs="Times New Roman"/>
          </w:rPr>
          <w:t>For all adults</w:t>
        </w:r>
      </w:hyperlink>
    </w:p>
    <w:p w:rsidR="00E17E52" w:rsidRPr="002755B3" w:rsidRDefault="00E17E52" w:rsidP="00E17E52">
      <w:pPr>
        <w:pStyle w:val="ListParagraph"/>
        <w:numPr>
          <w:ilvl w:val="0"/>
          <w:numId w:val="1"/>
        </w:numPr>
        <w:shd w:val="clear" w:color="auto" w:fill="FFFFFF"/>
        <w:spacing w:line="276" w:lineRule="auto"/>
        <w:rPr>
          <w:rStyle w:val="Hyperlink"/>
        </w:rPr>
      </w:pPr>
      <w:hyperlink r:id="rId13" w:history="1">
        <w:r>
          <w:rPr>
            <w:rStyle w:val="Hyperlink"/>
            <w:rFonts w:ascii="Georgia" w:hAnsi="Georgia" w:cs="Times New Roman"/>
          </w:rPr>
          <w:t>For women</w:t>
        </w:r>
      </w:hyperlink>
    </w:p>
    <w:p w:rsidR="00E17E52" w:rsidRPr="002755B3" w:rsidRDefault="00E17E52" w:rsidP="00E17E52">
      <w:pPr>
        <w:pStyle w:val="ListParagraph"/>
        <w:numPr>
          <w:ilvl w:val="0"/>
          <w:numId w:val="1"/>
        </w:numPr>
        <w:shd w:val="clear" w:color="auto" w:fill="FFFFFF"/>
        <w:spacing w:line="276" w:lineRule="auto"/>
        <w:rPr>
          <w:rFonts w:ascii="Georgia" w:hAnsi="Georgia" w:cs="Times New Roman"/>
          <w:color w:val="444444"/>
        </w:rPr>
      </w:pPr>
      <w:hyperlink r:id="rId14" w:history="1">
        <w:r w:rsidRPr="002755B3">
          <w:rPr>
            <w:rStyle w:val="Hyperlink"/>
            <w:rFonts w:ascii="Georgia" w:hAnsi="Georgia" w:cs="Times New Roman"/>
          </w:rPr>
          <w:t>For children</w:t>
        </w:r>
      </w:hyperlink>
      <w:r w:rsidRPr="002755B3">
        <w:rPr>
          <w:rFonts w:ascii="Georgia" w:hAnsi="Georgia" w:cs="Times New Roman"/>
          <w:color w:val="444444"/>
        </w:rPr>
        <w:t xml:space="preserve"> </w:t>
      </w:r>
    </w:p>
    <w:p w:rsidR="00BF1663" w:rsidRDefault="00845C51"/>
    <w:sectPr w:rsidR="00BF166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51" w:rsidRDefault="00845C51" w:rsidP="00E17E52">
      <w:r>
        <w:separator/>
      </w:r>
    </w:p>
  </w:endnote>
  <w:endnote w:type="continuationSeparator" w:id="0">
    <w:p w:rsidR="00845C51" w:rsidRDefault="00845C51" w:rsidP="00E1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51" w:rsidRDefault="00845C51" w:rsidP="00E17E52">
      <w:r>
        <w:separator/>
      </w:r>
    </w:p>
  </w:footnote>
  <w:footnote w:type="continuationSeparator" w:id="0">
    <w:p w:rsidR="00845C51" w:rsidRDefault="00845C51" w:rsidP="00E1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52" w:rsidRPr="008938E7" w:rsidRDefault="00E17E52" w:rsidP="00E17E52">
    <w:pPr>
      <w:spacing w:line="276" w:lineRule="auto"/>
      <w:rPr>
        <w:rFonts w:ascii="Georgia" w:hAnsi="Georgia"/>
        <w:b/>
        <w:sz w:val="28"/>
        <w:u w:val="single"/>
      </w:rPr>
    </w:pPr>
    <w:r>
      <w:rPr>
        <w:rFonts w:ascii="Georgia" w:hAnsi="Georgia"/>
        <w:b/>
        <w:sz w:val="28"/>
        <w:u w:val="single"/>
      </w:rPr>
      <w:t>Web/email</w:t>
    </w:r>
    <w:r w:rsidRPr="008938E7">
      <w:rPr>
        <w:rFonts w:ascii="Georgia" w:hAnsi="Georgia"/>
        <w:b/>
        <w:sz w:val="28"/>
        <w:u w:val="single"/>
      </w:rPr>
      <w:t xml:space="preserve"> copy: Preventive Services</w:t>
    </w:r>
  </w:p>
  <w:p w:rsidR="00E17E52" w:rsidRDefault="00E17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80E"/>
    <w:multiLevelType w:val="hybridMultilevel"/>
    <w:tmpl w:val="2326AA4E"/>
    <w:lvl w:ilvl="0" w:tplc="00000259">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16894"/>
    <w:multiLevelType w:val="hybridMultilevel"/>
    <w:tmpl w:val="60C4DE54"/>
    <w:lvl w:ilvl="0" w:tplc="00000259">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52"/>
    <w:rsid w:val="002834B5"/>
    <w:rsid w:val="00845C51"/>
    <w:rsid w:val="00B12190"/>
    <w:rsid w:val="00E1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6D8C"/>
  <w15:chartTrackingRefBased/>
  <w15:docId w15:val="{06108E2E-B134-4CF3-BED4-D6629607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17E52"/>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E52"/>
    <w:pPr>
      <w:ind w:left="720"/>
      <w:contextualSpacing/>
    </w:pPr>
    <w:rPr>
      <w:szCs w:val="24"/>
    </w:rPr>
  </w:style>
  <w:style w:type="character" w:styleId="Hyperlink">
    <w:name w:val="Hyperlink"/>
    <w:basedOn w:val="DefaultParagraphFont"/>
    <w:uiPriority w:val="99"/>
    <w:unhideWhenUsed/>
    <w:rsid w:val="00E17E52"/>
    <w:rPr>
      <w:color w:val="0563C1" w:themeColor="hyperlink"/>
      <w:u w:val="single"/>
    </w:rPr>
  </w:style>
  <w:style w:type="paragraph" w:styleId="Header">
    <w:name w:val="header"/>
    <w:basedOn w:val="Normal"/>
    <w:link w:val="HeaderChar"/>
    <w:uiPriority w:val="99"/>
    <w:unhideWhenUsed/>
    <w:rsid w:val="00E17E52"/>
    <w:pPr>
      <w:tabs>
        <w:tab w:val="center" w:pos="4680"/>
        <w:tab w:val="right" w:pos="9360"/>
      </w:tabs>
    </w:pPr>
  </w:style>
  <w:style w:type="character" w:customStyle="1" w:styleId="HeaderChar">
    <w:name w:val="Header Char"/>
    <w:basedOn w:val="DefaultParagraphFont"/>
    <w:link w:val="Header"/>
    <w:uiPriority w:val="99"/>
    <w:rsid w:val="00E17E52"/>
    <w:rPr>
      <w:sz w:val="24"/>
      <w:szCs w:val="20"/>
    </w:rPr>
  </w:style>
  <w:style w:type="paragraph" w:styleId="Footer">
    <w:name w:val="footer"/>
    <w:basedOn w:val="Normal"/>
    <w:link w:val="FooterChar"/>
    <w:uiPriority w:val="99"/>
    <w:unhideWhenUsed/>
    <w:rsid w:val="00E17E52"/>
    <w:pPr>
      <w:tabs>
        <w:tab w:val="center" w:pos="4680"/>
        <w:tab w:val="right" w:pos="9360"/>
      </w:tabs>
    </w:pPr>
  </w:style>
  <w:style w:type="character" w:customStyle="1" w:styleId="FooterChar">
    <w:name w:val="Footer Char"/>
    <w:basedOn w:val="DefaultParagraphFont"/>
    <w:link w:val="Footer"/>
    <w:uiPriority w:val="99"/>
    <w:rsid w:val="00E17E52"/>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are.gov/glossary/co-payment/" TargetMode="External"/><Relationship Id="rId13" Type="http://schemas.openxmlformats.org/officeDocument/2006/relationships/hyperlink" Target="https://www.healthcare.gov/preventive-care-women/" TargetMode="External"/><Relationship Id="rId3" Type="http://schemas.openxmlformats.org/officeDocument/2006/relationships/settings" Target="settings.xml"/><Relationship Id="rId7" Type="http://schemas.openxmlformats.org/officeDocument/2006/relationships/hyperlink" Target="https://www.healthcare.gov/coverage/preventive-care-benefits/" TargetMode="External"/><Relationship Id="rId12" Type="http://schemas.openxmlformats.org/officeDocument/2006/relationships/hyperlink" Target="https://www.healthcare.gov/preventive-care-adul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are.gov/glossa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care.gov/glossary/deductible/" TargetMode="External"/><Relationship Id="rId4" Type="http://schemas.openxmlformats.org/officeDocument/2006/relationships/webSettings" Target="webSettings.xml"/><Relationship Id="rId9" Type="http://schemas.openxmlformats.org/officeDocument/2006/relationships/hyperlink" Target="https://www.healthcare.gov/glossary/co-insurance/" TargetMode="External"/><Relationship Id="rId14" Type="http://schemas.openxmlformats.org/officeDocument/2006/relationships/hyperlink" Target="https://www.healthcare.gov/preventive-care-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McBee</dc:creator>
  <cp:keywords/>
  <dc:description/>
  <cp:lastModifiedBy>Mindy McBee</cp:lastModifiedBy>
  <cp:revision>1</cp:revision>
  <dcterms:created xsi:type="dcterms:W3CDTF">2016-05-24T12:53:00Z</dcterms:created>
  <dcterms:modified xsi:type="dcterms:W3CDTF">2016-05-24T13:00:00Z</dcterms:modified>
</cp:coreProperties>
</file>